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bCs/>
          <w:color w:val="FF0000"/>
          <w:spacing w:val="0"/>
          <w:w w:val="83"/>
          <w:kern w:val="0"/>
          <w:sz w:val="84"/>
          <w:szCs w:val="84"/>
          <w:fitText w:val="8400" w:id="1073619957"/>
        </w:rPr>
      </w:pPr>
    </w:p>
    <w:p>
      <w:pPr>
        <w:jc w:val="center"/>
        <w:rPr>
          <w:rFonts w:ascii="宋体"/>
          <w:b/>
          <w:bCs/>
          <w:color w:val="FF0000"/>
          <w:w w:val="80"/>
          <w:kern w:val="0"/>
          <w:sz w:val="84"/>
          <w:szCs w:val="84"/>
        </w:rPr>
      </w:pPr>
      <w:r>
        <w:rPr>
          <w:rFonts w:hint="eastAsia" w:ascii="宋体"/>
          <w:b/>
          <w:bCs/>
          <w:color w:val="FF0000"/>
          <w:spacing w:val="0"/>
          <w:w w:val="83"/>
          <w:kern w:val="0"/>
          <w:sz w:val="84"/>
          <w:szCs w:val="84"/>
          <w:fitText w:val="8400" w:id="1073619957"/>
        </w:rPr>
        <w:t>江西省企业破产管理人协</w:t>
      </w:r>
      <w:r>
        <w:rPr>
          <w:rFonts w:hint="eastAsia" w:ascii="宋体"/>
          <w:b/>
          <w:bCs/>
          <w:color w:val="FF0000"/>
          <w:spacing w:val="-2"/>
          <w:w w:val="83"/>
          <w:kern w:val="0"/>
          <w:sz w:val="84"/>
          <w:szCs w:val="84"/>
          <w:fitText w:val="8400" w:id="1073619957"/>
        </w:rPr>
        <w:t>会</w:t>
      </w:r>
    </w:p>
    <w:p>
      <w:pPr>
        <w:rPr>
          <w:rFonts w:ascii="宋体"/>
          <w:b/>
          <w:bCs/>
          <w:w w:val="80"/>
          <w:kern w:val="0"/>
          <w:sz w:val="30"/>
          <w:szCs w:val="30"/>
        </w:rPr>
      </w:pPr>
    </w:p>
    <w:p>
      <w:pPr>
        <w:spacing w:line="360" w:lineRule="exact"/>
        <w:jc w:val="both"/>
        <w:rPr>
          <w:rFonts w:hint="default" w:ascii="宋体" w:eastAsia="仿宋"/>
          <w:b/>
          <w:bCs/>
          <w:kern w:val="0"/>
          <w:sz w:val="84"/>
          <w:szCs w:val="84"/>
          <w:u w:color="FF0000"/>
          <w:lang w:val="en-US" w:eastAsia="zh-CN"/>
        </w:rPr>
      </w:pPr>
      <w:r>
        <w:rPr>
          <w:rFonts w:hint="eastAsia" w:ascii="仿宋" w:eastAsia="仿宋"/>
          <w:kern w:val="0"/>
          <w:sz w:val="32"/>
          <w:szCs w:val="32"/>
          <w:u w:color="FF0000"/>
        </w:rPr>
        <w:t>赣管协[2022]</w:t>
      </w:r>
      <w:r>
        <w:rPr>
          <w:rFonts w:hint="eastAsia" w:ascii="仿宋" w:eastAsia="仿宋"/>
          <w:kern w:val="0"/>
          <w:sz w:val="32"/>
          <w:szCs w:val="32"/>
          <w:u w:color="FF0000"/>
          <w:lang w:val="en-US" w:eastAsia="zh-CN"/>
        </w:rPr>
        <w:t>79</w:t>
      </w:r>
      <w:r>
        <w:rPr>
          <w:rFonts w:hint="eastAsia" w:ascii="仿宋" w:eastAsia="仿宋"/>
          <w:kern w:val="0"/>
          <w:sz w:val="32"/>
          <w:szCs w:val="32"/>
          <w:u w:color="FF0000"/>
        </w:rPr>
        <w:t>号</w:t>
      </w:r>
      <w:r>
        <w:rPr>
          <w:rFonts w:hint="eastAsia" w:ascii="仿宋" w:eastAsia="仿宋"/>
          <w:kern w:val="0"/>
          <w:sz w:val="32"/>
          <w:szCs w:val="32"/>
          <w:u w:color="FF0000"/>
          <w:lang w:val="en-US" w:eastAsia="zh-CN"/>
        </w:rPr>
        <w:t xml:space="preserve">                    </w:t>
      </w:r>
      <w:r>
        <w:rPr>
          <w:rFonts w:hint="eastAsia" w:ascii="仿宋" w:eastAsia="仿宋"/>
          <w:kern w:val="10"/>
          <w:sz w:val="32"/>
          <w:szCs w:val="32"/>
          <w:u w:val="none" w:color="FF0000"/>
          <w:lang w:val="en-US" w:eastAsia="zh-CN"/>
        </w:rPr>
        <w:t>签发人：左北平</w:t>
      </w:r>
    </w:p>
    <w:p>
      <w:pPr>
        <w:spacing w:line="360" w:lineRule="exact"/>
        <w:rPr>
          <w:rFonts w:hint="default" w:ascii="黑体" w:eastAsia="黑体"/>
          <w:sz w:val="44"/>
          <w:szCs w:val="44"/>
          <w:lang w:val="en-US" w:eastAsia="zh-CN"/>
        </w:rPr>
      </w:pPr>
      <w:r>
        <w:rPr>
          <w:rFonts w:hint="eastAsia" w:ascii="宋体"/>
          <w:b/>
          <w:bCs/>
          <w:w w:val="80"/>
          <w:kern w:val="0"/>
          <w:sz w:val="84"/>
          <w:szCs w:val="84"/>
          <w:u w:val="thick" w:color="FF0000"/>
        </w:rPr>
        <w:t xml:space="preserve">                                                                </w:t>
      </w:r>
      <w:r>
        <w:rPr>
          <w:rFonts w:hint="eastAsia" w:ascii="仿宋" w:eastAsia="仿宋"/>
          <w:kern w:val="0"/>
          <w:sz w:val="32"/>
          <w:szCs w:val="32"/>
          <w:u w:color="FF0000"/>
        </w:rPr>
        <w:t xml:space="preserve">        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                     </w:t>
      </w:r>
      <w:r>
        <w:rPr>
          <w:rFonts w:hint="eastAsia" w:ascii="仿宋" w:eastAsia="仿宋"/>
          <w:kern w:val="0"/>
          <w:sz w:val="32"/>
          <w:szCs w:val="32"/>
          <w:u w:color="FF000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center"/>
        <w:textAlignment w:val="auto"/>
        <w:rPr>
          <w:rFonts w:hint="default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江西省企业破产管理人协会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仿宋_GB2312"/>
          <w:sz w:val="30"/>
          <w:szCs w:val="30"/>
        </w:rPr>
      </w:pPr>
      <w:r>
        <w:rPr>
          <w:rFonts w:hint="eastAsia" w:ascii="黑体" w:eastAsia="黑体"/>
          <w:sz w:val="44"/>
          <w:szCs w:val="44"/>
        </w:rPr>
        <w:t>关于缴纳202</w:t>
      </w:r>
      <w:r>
        <w:rPr>
          <w:rFonts w:hint="eastAsia" w:asci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sz w:val="44"/>
          <w:szCs w:val="44"/>
        </w:rPr>
        <w:t>年度会费的通知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全省各会员单位：</w:t>
      </w:r>
    </w:p>
    <w:p>
      <w:pPr>
        <w:spacing w:line="520" w:lineRule="exact"/>
        <w:ind w:firstLine="600" w:firstLineChars="200"/>
        <w:rPr>
          <w:rFonts w:ascii="仿宋" w:hAnsi="仿宋" w:eastAsia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依据</w:t>
      </w:r>
      <w:r>
        <w:rPr>
          <w:rFonts w:hint="eastAsia" w:ascii="仿宋" w:hAnsi="仿宋" w:eastAsia="仿宋"/>
          <w:sz w:val="30"/>
          <w:szCs w:val="30"/>
        </w:rPr>
        <w:t>《江西省企业破产管理人协会章程》《江西省企业破产管理人协会会费标准及收支管理办法》规定</w:t>
      </w:r>
      <w:r>
        <w:rPr>
          <w:rFonts w:hint="eastAsia" w:ascii="仿宋" w:hAnsi="仿宋" w:eastAsia="仿宋"/>
          <w:sz w:val="30"/>
          <w:szCs w:val="30"/>
          <w:lang w:eastAsia="zh-CN"/>
        </w:rPr>
        <w:t>，经协会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常务理事会2022年第三次会议研究决定，自本通知下达即日起</w:t>
      </w:r>
      <w:r>
        <w:rPr>
          <w:rFonts w:hint="eastAsia" w:ascii="仿宋" w:hAnsi="仿宋" w:eastAsia="仿宋"/>
          <w:bCs/>
          <w:color w:val="000000"/>
          <w:kern w:val="0"/>
          <w:sz w:val="30"/>
          <w:szCs w:val="30"/>
        </w:rPr>
        <w:t>开始</w:t>
      </w:r>
      <w:r>
        <w:rPr>
          <w:rFonts w:hint="eastAsia" w:ascii="仿宋" w:hAnsi="仿宋" w:eastAsia="仿宋"/>
          <w:bCs/>
          <w:color w:val="000000"/>
          <w:kern w:val="0"/>
          <w:sz w:val="30"/>
          <w:szCs w:val="30"/>
          <w:lang w:eastAsia="zh-CN"/>
        </w:rPr>
        <w:t>继续</w:t>
      </w:r>
      <w:r>
        <w:rPr>
          <w:rFonts w:hint="eastAsia" w:ascii="仿宋" w:hAnsi="仿宋" w:eastAsia="仿宋"/>
          <w:sz w:val="30"/>
          <w:szCs w:val="30"/>
        </w:rPr>
        <w:t>缴纳</w:t>
      </w:r>
      <w:r>
        <w:rPr>
          <w:rFonts w:hint="eastAsia" w:ascii="仿宋" w:hAnsi="仿宋" w:eastAsia="仿宋"/>
          <w:sz w:val="30"/>
          <w:szCs w:val="30"/>
          <w:lang w:eastAsia="zh-CN"/>
        </w:rPr>
        <w:t>会员</w:t>
      </w:r>
      <w:r>
        <w:rPr>
          <w:rFonts w:hint="eastAsia" w:ascii="仿宋" w:hAnsi="仿宋" w:eastAsia="仿宋"/>
          <w:sz w:val="30"/>
          <w:szCs w:val="30"/>
        </w:rPr>
        <w:t>会费。</w:t>
      </w:r>
      <w:r>
        <w:rPr>
          <w:rFonts w:hint="eastAsia" w:ascii="仿宋" w:hAnsi="仿宋" w:eastAsia="仿宋"/>
          <w:bCs/>
          <w:color w:val="000000"/>
          <w:kern w:val="0"/>
          <w:sz w:val="30"/>
          <w:szCs w:val="30"/>
        </w:rPr>
        <w:t>现将</w:t>
      </w:r>
      <w:r>
        <w:rPr>
          <w:rFonts w:hint="eastAsia" w:ascii="仿宋" w:hAnsi="仿宋" w:eastAsia="仿宋"/>
          <w:bCs/>
          <w:color w:val="000000"/>
          <w:kern w:val="0"/>
          <w:sz w:val="30"/>
          <w:szCs w:val="30"/>
          <w:lang w:val="en-US" w:eastAsia="zh-CN"/>
        </w:rPr>
        <w:t>2022年度</w:t>
      </w:r>
      <w:r>
        <w:rPr>
          <w:rFonts w:hint="eastAsia" w:ascii="仿宋" w:hAnsi="仿宋" w:eastAsia="仿宋"/>
          <w:bCs/>
          <w:color w:val="000000"/>
          <w:kern w:val="0"/>
          <w:sz w:val="30"/>
          <w:szCs w:val="30"/>
        </w:rPr>
        <w:t>会员会费缴纳</w:t>
      </w:r>
      <w:r>
        <w:rPr>
          <w:rFonts w:hint="eastAsia" w:ascii="仿宋" w:hAnsi="仿宋" w:eastAsia="仿宋"/>
          <w:bCs/>
          <w:color w:val="000000"/>
          <w:kern w:val="0"/>
          <w:sz w:val="30"/>
          <w:szCs w:val="30"/>
          <w:lang w:val="en-US" w:eastAsia="zh-CN"/>
        </w:rPr>
        <w:t>事项</w:t>
      </w:r>
      <w:r>
        <w:rPr>
          <w:rFonts w:hint="eastAsia" w:ascii="仿宋" w:hAnsi="仿宋" w:eastAsia="仿宋"/>
          <w:bCs/>
          <w:color w:val="000000"/>
          <w:kern w:val="0"/>
          <w:sz w:val="30"/>
          <w:szCs w:val="30"/>
        </w:rPr>
        <w:t>通知如下：</w:t>
      </w:r>
    </w:p>
    <w:p>
      <w:pPr>
        <w:spacing w:line="520" w:lineRule="exact"/>
        <w:ind w:firstLine="602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缴费对象：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2022年之前已加入协会的正式会员，其中含已晋级的破产案件管理人会员按新等级年度标准执行。（全体会员名单见附件1）</w:t>
      </w:r>
    </w:p>
    <w:p>
      <w:pPr>
        <w:spacing w:line="520" w:lineRule="exact"/>
        <w:ind w:firstLine="602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0"/>
          <w:szCs w:val="30"/>
        </w:rPr>
        <w:t>、缴费标准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2022年</w:t>
      </w:r>
      <w:r>
        <w:rPr>
          <w:rFonts w:hint="eastAsia" w:ascii="仿宋" w:hAnsi="仿宋" w:eastAsia="仿宋"/>
          <w:sz w:val="30"/>
          <w:szCs w:val="30"/>
        </w:rPr>
        <w:t>会费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按协会正常年度收费标准执行，即</w:t>
      </w:r>
      <w:r>
        <w:rPr>
          <w:rFonts w:hint="eastAsia" w:ascii="仿宋" w:hAnsi="仿宋" w:eastAsia="仿宋"/>
          <w:sz w:val="30"/>
          <w:szCs w:val="30"/>
        </w:rPr>
        <w:t>每年会费一级管理人</w:t>
      </w:r>
      <w:r>
        <w:rPr>
          <w:rFonts w:hint="eastAsia" w:ascii="仿宋" w:hAnsi="仿宋" w:eastAsia="仿宋"/>
          <w:sz w:val="30"/>
          <w:szCs w:val="30"/>
          <w:lang w:eastAsia="zh-CN"/>
        </w:rPr>
        <w:t>为</w:t>
      </w:r>
      <w:r>
        <w:rPr>
          <w:rFonts w:hint="eastAsia" w:ascii="仿宋" w:hAnsi="仿宋" w:eastAsia="仿宋"/>
          <w:sz w:val="30"/>
          <w:szCs w:val="30"/>
        </w:rPr>
        <w:t>10000元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</w:rPr>
        <w:t>二级管理人</w:t>
      </w:r>
      <w:r>
        <w:rPr>
          <w:rFonts w:hint="eastAsia" w:ascii="仿宋" w:hAnsi="仿宋" w:eastAsia="仿宋"/>
          <w:sz w:val="30"/>
          <w:szCs w:val="30"/>
          <w:lang w:eastAsia="zh-CN"/>
        </w:rPr>
        <w:t>为</w:t>
      </w:r>
      <w:r>
        <w:rPr>
          <w:rFonts w:hint="eastAsia" w:ascii="仿宋" w:hAnsi="仿宋" w:eastAsia="仿宋"/>
          <w:sz w:val="30"/>
          <w:szCs w:val="30"/>
        </w:rPr>
        <w:t>7000元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</w:rPr>
        <w:t>三级管理人</w:t>
      </w:r>
      <w:r>
        <w:rPr>
          <w:rFonts w:hint="eastAsia" w:ascii="仿宋" w:hAnsi="仿宋" w:eastAsia="仿宋"/>
          <w:sz w:val="30"/>
          <w:szCs w:val="30"/>
          <w:lang w:eastAsia="zh-CN"/>
        </w:rPr>
        <w:t>为</w:t>
      </w:r>
      <w:r>
        <w:rPr>
          <w:rFonts w:hint="eastAsia" w:ascii="仿宋" w:hAnsi="仿宋" w:eastAsia="仿宋"/>
          <w:sz w:val="30"/>
          <w:szCs w:val="30"/>
        </w:rPr>
        <w:t>5000元。</w:t>
      </w:r>
    </w:p>
    <w:p>
      <w:pPr>
        <w:spacing w:line="520" w:lineRule="exact"/>
        <w:ind w:firstLine="602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0"/>
          <w:szCs w:val="30"/>
        </w:rPr>
        <w:t>、缴费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方式：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（见附件2）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0"/>
          <w:szCs w:val="30"/>
        </w:rPr>
        <w:t>、缴费时间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与要求：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本通知发布之日起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至202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日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止，为会员2022年度继续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缴费时间。</w:t>
      </w:r>
    </w:p>
    <w:p>
      <w:pPr>
        <w:spacing w:line="520" w:lineRule="exact"/>
        <w:ind w:firstLine="602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根据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协会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常务理事会2022年第三次会议研究决定，凡2022年未按时缴费会员，一律将名单上报省法院，建议将其从破产案件管理人名册中除名。协会不再另行通知。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特此通知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eastAsia="仿宋"/>
          <w:sz w:val="30"/>
          <w:szCs w:val="30"/>
        </w:rPr>
        <w:t> </w:t>
      </w:r>
      <w:r>
        <w:rPr>
          <w:rFonts w:hint="eastAsia" w:eastAsia="仿宋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z w:val="30"/>
          <w:szCs w:val="30"/>
        </w:rPr>
        <w:t>江西省企业破产管理人协会</w:t>
      </w:r>
    </w:p>
    <w:p>
      <w:pPr>
        <w:spacing w:line="52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                                        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eastAsia="仿宋"/>
          <w:sz w:val="30"/>
          <w:szCs w:val="30"/>
        </w:rPr>
        <w:t>       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 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eastAsia="仿宋"/>
          <w:sz w:val="30"/>
          <w:szCs w:val="30"/>
          <w:lang w:val="en-US" w:eastAsia="zh-CN"/>
        </w:rPr>
        <w:t xml:space="preserve">    </w:t>
      </w:r>
      <w:r>
        <w:rPr>
          <w:rFonts w:eastAsia="仿宋"/>
          <w:sz w:val="30"/>
          <w:szCs w:val="30"/>
        </w:rPr>
        <w:t>                                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eastAsia="仿宋"/>
          <w:sz w:val="30"/>
          <w:szCs w:val="30"/>
        </w:rPr>
        <w:t>       </w:t>
      </w:r>
      <w:r>
        <w:rPr>
          <w:rFonts w:ascii="仿宋" w:hAnsi="仿宋" w:eastAsia="仿宋"/>
          <w:sz w:val="30"/>
          <w:szCs w:val="30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江西省企业破产管理人协会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会员名册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含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部分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等级晋级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）</w:t>
      </w:r>
    </w:p>
    <w:tbl>
      <w:tblPr>
        <w:tblStyle w:val="7"/>
        <w:tblW w:w="8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4847"/>
        <w:gridCol w:w="1588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机  构  名  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会员证号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管理人等级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江西姚建律师事务所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JXGX2019Z001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利安达会计师事务所（特殊普通合伙）江西分所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JXGX2019Z002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江西豫章律师事务所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JXGX2019Z003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江西求正沃德律师事务所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JXGX2019Z005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瑞华会计师事务所（特殊普通合伙）江西分所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JXGX2019Z006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江西秦风律师事务所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JXGX2019H011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上海市建纬（南昌）律师事务所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JXGX2019H012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上海市锦天城（南昌）律师事务所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北京市中银（南昌）律师事务所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JXGX2019H015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北京市盈科（南昌）律师事务所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北京市京师（南昌）律师事务所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江西博德律师事务所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JXGX2019H016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江西中审会计师事务所有限责任公司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JXGX2019H019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江西华赣会计事务所有限公司责任公司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JXGX2019H020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江西大信诚信会计师事务所有限责任公司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JXGX2019H025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中审华会计师事务所（特殊普通合伙）江西分所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江西惠普会计师事务所有限责任公司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JXGX2019H022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中兴财光华会计师事务所（特殊普通合伙）江西分所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JXGX2019H023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北京中证天通会计师事务所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JXGX2019H026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江西永健联合会计师事务所（普通合伙）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中国华融资产管理股份有限公司江西省分公司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JXGX2019H028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江西康润律师事务所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江西柴桑律师事务所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江西惟民律师事务所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江西开河律师事务所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JXGX2019H037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江西支点律师事务所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JXGX2019H032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江西际民律师事务所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JXGX2019H033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江西顺合律师事务所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JXGX2019H035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江西赣北律师事务所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JXGX2019H036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江西擎天律师事务所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JXGX2019H038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江西天华会计师事务所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JXGX2019H039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九江浔诚会计师事务所有限责任公司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九江市龙城会计师事务所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JXGX2019H051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江西泰方律师事务所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JXGX2019H052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江西景扬律师事务所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JXGX2019H053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江西晨天律师事务所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JXGX2019H055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江西瀛畅律师事务所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JXGX2019H056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江西京天律师事务所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JXGX2019H057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江西华镇律师事务所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JXGX2019H058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江西三人行律师事务所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JXGX2019H059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江西立宇律师事务所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JXGX2019H060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江西景德会计师事务所有限公司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JXGX2019H061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景德镇景审有限责任会计师事务所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JXGX2019H062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景德镇兴瓷会计师事务所有限公司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JXGX2019H063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江西永信会计师事务所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JXGX2019H065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景德镇市明驰资产评估事务所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、景德镇诚信联合会计事务所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JXGX2019H066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江西鸿天律师事务所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JXGX2019H067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江西尚颂律师事务所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JXGX2019H068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江西博韬律师事务所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JXGX2019H069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江西金鳌律师事务所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JXGX2019H070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萍乡德龙会计师事务所有限公司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JXGX2019H071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萍乡维信联合会计师事务所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JXGX2019H072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53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江西中赣联合会计师事务所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JXGX2019H073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江西三江合律师事务所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JXGX2019H075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江西袁河律师事务所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JXGX2019H076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江西弘道律师事务所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JXGX2019H077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江西弘杰律师事务所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JXGX2019H078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江西至开律师事务所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JXGX2019H079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江西君越律师事务所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JXGX2019H080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江西心展律师事务所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JXGX2019H081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61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江西配德律师事务所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JXGX2019H082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江西金山会计师事务所有限公司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JXGX2019H083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63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江西华泰会计师事务所有限公司新余分所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JXGX2019H085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新余青云会计师事务所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JXGX2019H086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江西华星律师事务所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JXGX2019H087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江西融冰律师事务所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JXGX2019H088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江西赣鹰律师事务所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JXGX2019H089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68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江西东昇律师事务所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JXGX2019H090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江西信江律师事务所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JXGX2019H091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江西翔鹰会计师事务所有限责任公司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JXGX2019H092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71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江西鹰潭同信会计师事务所有限公司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JXGX2019H093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72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江西南芳律师事务所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JXGX2019H095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73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江西理公律师事务所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JXGX2019H096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74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江西海融律师事务所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JXGX2019H099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江西公仁律师事务所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76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江西创兴律师事务所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JXGX2019H097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77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江西明理律师事务所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JXGX2019H098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78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江西凯莱律师事务所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江西客家人律师事务所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北京中银（赣州）律师事务所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81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江西钨都律师事务所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JXGX2019H105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82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江西实创律师事务所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JXGX2019H106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83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江西东顺会计师事务所有限公司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JXGX2019H107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84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江西赣州华昇会计师事务所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JXGX2019H108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85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赣州中诚会计师事务所（普通合伙）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JXGX2019H109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86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江西联信会计师事务所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JXGX2019H110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87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赣州正原会计师事务所有限责任公司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JXGX2019H111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88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江西鸿韵律师事务所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JXGX2019H112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89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江西浩剑律师事务所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JXGX2019H116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江西利元律师事务所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JXGX2019H113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91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江西甘雨律师事务所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JXGX2019H115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92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江西药都律师事务所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93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江西阳宇律师事务所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94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江西华晟律师事务所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JXGX2019H119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95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江西爱心律师事务所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96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江西同茂律师事务所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97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江西瑞州律师事务所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JXGX2019H122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98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江西竹鄉律师事务所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JXGX2019H123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宜春鑫达会计师事务所有限责任公司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江西华泰会计师事务所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有限公司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赣西分所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JXGX2019H126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101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江西盛义律师事务所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102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江西帝经律师事务所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103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江西时空律师事务所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JXGX2019H128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104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江西瀛赣律师事务所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105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江西赣东北律师事务所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106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江西金乘律师事务所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JXGX2019H132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107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江西永华和信会计师事务所有限公司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JXGX2019H133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108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江西三清会计师事务所有限责任公司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JXGX2019H135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109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上饶市安信永辰会计师事务所有限公司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JXGX2019H136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江西上饶周华恒源会计师事务所有限公司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JXGX2019H137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江西天缘破产清算事务所有限公司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JXGX2019H138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江西赣中律师事务所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JXGX2019H139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江西智桥律师事务所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江西井冈律师事务所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JXGX2019H151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江西共创律师事务所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江西律星律师事务所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JXGX2019H153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江西钧略律师事务所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JXGX2019H155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118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江西大井冈会计师事务所有限公司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JXGX2019H156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119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吉安文山有限责任会计师事务所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JXGX2019H157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江西金庐陵会计师事务所有限公司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JXGX2019H158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121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江西鹭洲会计师事务所有限公司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JXGX2019H159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122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江西民鉴律师事务所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JXGX2019H160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123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江西利群律师事务所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JXGX2019H161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124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江西澍正律师事务所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JXGX2019H162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125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江西三松律师事务所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JXGX2019H163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126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江西衡业律师事务所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JXGX2019H165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127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江西抚仁律师事务所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JXGX2019H166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128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江西论研律师事务所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JXGX2019H167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129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江西德诚联合会计师事务所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JXGX2019H168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130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江西茗仁会计师事务所有限公司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JXGX2019H169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131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江西君剑破产清算服务有限公司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JXGX2019H170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132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江西瀛洪仁律师事务所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JXGX2019H171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6"/>
        <w:ind w:left="0" w:leftChars="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附2：</w:t>
      </w:r>
    </w:p>
    <w:p>
      <w:pPr>
        <w:pStyle w:val="6"/>
        <w:ind w:left="0" w:leftChars="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费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方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式</w:t>
      </w:r>
    </w:p>
    <w:p/>
    <w:p>
      <w:pPr>
        <w:spacing w:line="520" w:lineRule="exact"/>
        <w:ind w:firstLine="600" w:firstLineChars="200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、收款账户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收款单位：江西省企业破产管理人协会</w:t>
      </w:r>
    </w:p>
    <w:p>
      <w:pPr>
        <w:spacing w:line="52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银行账号：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xxxx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xxxx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xxxx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xxx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开户行：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xxxxxxxxx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520" w:lineRule="exact"/>
        <w:ind w:firstLine="600" w:firstLineChars="200"/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汇款时务必以本单位银行账户支付会费，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请注明单位名称、管理人等级并备注2</w:t>
      </w:r>
      <w:r>
        <w:rPr>
          <w:rFonts w:ascii="仿宋" w:hAnsi="仿宋" w:eastAsia="仿宋"/>
          <w:bCs/>
          <w:color w:val="000000"/>
          <w:kern w:val="0"/>
          <w:sz w:val="28"/>
          <w:szCs w:val="28"/>
        </w:rPr>
        <w:t>0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年会费缴纳字样；转账完成后，将银行回执截图发送协会邮箱。</w:t>
      </w:r>
    </w:p>
    <w:p>
      <w:pPr>
        <w:widowControl/>
        <w:numPr>
          <w:ilvl w:val="0"/>
          <w:numId w:val="0"/>
        </w:numPr>
        <w:spacing w:line="520" w:lineRule="exact"/>
        <w:ind w:firstLine="600" w:firstLineChars="200"/>
        <w:rPr>
          <w:rFonts w:ascii="仿宋" w:hAnsi="仿宋" w:eastAsia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如以其他账户支付会费的，务必备注会员单位名称。如有遗忘，请及时联系协会告知汇款情况，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转账完成后，请将银行回执截图发送协会邮箱。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、缴纳会费后，协会将按照各家会员单位预留在协会的联络人送达会费缴纳的票据。如缴纳票据单位名称有变更、寄收地址、收件联系人手机微信有变动的，请及时告知。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协会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  <w:lang w:eastAsia="zh-CN"/>
        </w:rPr>
        <w:t>电子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邮箱：</w:t>
      </w:r>
      <w:r>
        <w:fldChar w:fldCharType="begin"/>
      </w:r>
      <w:r>
        <w:instrText xml:space="preserve"> HYPERLINK "mailto:jxsgx2018@163.com" </w:instrText>
      </w:r>
      <w:r>
        <w:fldChar w:fldCharType="separate"/>
      </w:r>
      <w:r>
        <w:rPr>
          <w:rStyle w:val="9"/>
          <w:rFonts w:hint="eastAsia" w:ascii="仿宋" w:hAnsi="仿宋" w:eastAsia="仿宋"/>
          <w:bCs/>
          <w:kern w:val="0"/>
          <w:sz w:val="28"/>
          <w:szCs w:val="28"/>
        </w:rPr>
        <w:t>jxsgx2018@163.com</w:t>
      </w:r>
      <w:r>
        <w:rPr>
          <w:rStyle w:val="9"/>
          <w:rFonts w:hint="eastAsia" w:ascii="仿宋" w:hAnsi="仿宋" w:eastAsia="仿宋"/>
          <w:bCs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,</w:t>
      </w:r>
    </w:p>
    <w:p>
      <w:pPr>
        <w:widowControl/>
        <w:spacing w:line="520" w:lineRule="exact"/>
        <w:ind w:firstLine="840" w:firstLineChars="300"/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0791-88132216，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13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  <w:lang w:val="en-US" w:eastAsia="zh-CN"/>
        </w:rPr>
        <w:t>133825716</w:t>
      </w:r>
    </w:p>
    <w:p>
      <w:pPr>
        <w:widowControl/>
        <w:spacing w:line="520" w:lineRule="exact"/>
        <w:ind w:firstLine="840" w:firstLineChars="300"/>
        <w:rPr>
          <w:rFonts w:ascii="仿宋" w:hAnsi="仿宋" w:eastAsia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微信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  <w:lang w:eastAsia="zh-CN"/>
        </w:rPr>
        <w:t>号：</w:t>
      </w:r>
      <w:r>
        <w:rPr>
          <w:rFonts w:hint="default" w:ascii="仿宋" w:hAnsi="仿宋" w:eastAsia="仿宋"/>
          <w:bCs/>
          <w:color w:val="000000"/>
          <w:kern w:val="0"/>
          <w:sz w:val="28"/>
          <w:szCs w:val="28"/>
          <w:lang w:val="en-US" w:eastAsia="zh-CN"/>
        </w:rPr>
        <w:t>13870600836</w:t>
      </w:r>
    </w:p>
    <w:p>
      <w:pPr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E33CB1"/>
    <w:multiLevelType w:val="singleLevel"/>
    <w:tmpl w:val="3BE33CB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OGZhOWM1MzBlNTExMDZlZDNiOGM5OGRlMzMwZDcifQ=="/>
  </w:docVars>
  <w:rsids>
    <w:rsidRoot w:val="00000000"/>
    <w:rsid w:val="0A1A6FC8"/>
    <w:rsid w:val="0DA87805"/>
    <w:rsid w:val="0FE7119C"/>
    <w:rsid w:val="128D1BAA"/>
    <w:rsid w:val="22482F0D"/>
    <w:rsid w:val="26806A39"/>
    <w:rsid w:val="2FBD065D"/>
    <w:rsid w:val="3EE651E8"/>
    <w:rsid w:val="44BA00E7"/>
    <w:rsid w:val="474E6020"/>
    <w:rsid w:val="547118E5"/>
    <w:rsid w:val="576616F1"/>
    <w:rsid w:val="5AB32912"/>
    <w:rsid w:val="603E4664"/>
    <w:rsid w:val="61CF3FA5"/>
    <w:rsid w:val="72B461BC"/>
    <w:rsid w:val="7CE75E0F"/>
    <w:rsid w:val="7D8A2C07"/>
    <w:rsid w:val="7D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/>
    </w:p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2795</Words>
  <Characters>4515</Characters>
  <Paragraphs>708</Paragraphs>
  <TotalTime>10</TotalTime>
  <ScaleCrop>false</ScaleCrop>
  <LinksUpToDate>false</LinksUpToDate>
  <CharactersWithSpaces>4781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2021-05-13T06:57:00Z</dcterms:created>
  <dc:creator>pc</dc:creator>
  <cp:lastModifiedBy>风火</cp:lastModifiedBy>
  <dcterms:modified xsi:type="dcterms:W3CDTF">2022-09-20T03:36:27Z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57B66A8BF2F7425DA87C323EFA9A02C3</vt:lpwstr>
  </property>
</Properties>
</file>